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80"/>
      </w:pPr>
      <w:r>
        <w:rPr>
          <w:b/>
          <w:bCs/>
        </w:rPr>
        <w:t xml:space="preserve">PRD — ExportBrain Trade Intelligence Platform</w:t>
      </w:r>
    </w:p>
    <w:p>
      <w:pPr>
        <w:spacing w:after="160"/>
      </w:pPr>
      <w:r>
        <w:rPr>
          <w:sz w:val="22"/>
          <w:szCs w:val="22"/>
        </w:rPr>
        <w:t xml:space="preserve">Prepared for: Ministry of Investment and Foreign Trade (MFIT) · In connection with: Egypt Exports Forward &amp; Egyptian Foreign Trade Information Portal · Prepared by: Corbia Innovation Hub · Version 1.0 (Draft for Discussion) — August 2026</w:t>
      </w:r>
    </w:p>
    <w:p>
      <w:pPr>
        <w:pStyle w:val="Heading1"/>
        <w:spacing w:after="160" w:before="280"/>
      </w:pPr>
      <w:r>
        <w:rPr>
          <w:b/>
          <w:bCs/>
        </w:rPr>
        <w:t xml:space="preserve">1. Document Control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Field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b/>
                <w:bCs/>
                <w:sz w:val="18"/>
                <w:szCs w:val="18"/>
              </w:rPr>
              <w:t xml:space="preserve">Value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Document Title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PRD — ExportBrain Trade Intelligence Platform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Prepared For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Ministry of Investment and Foreign Trade (MFIT)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Prepared By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Corbia Innovation Hub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Companion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Business Case — ExportBrain (v1.0)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Status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Draft — For Discussion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Version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1.0</w:t>
            </w:r>
          </w:p>
        </w:tc>
      </w:tr>
      <w:tr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4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sz w:val="18"/>
                <w:szCs w:val="18"/>
              </w:rPr>
              <w:t xml:space="preserve">August 2026</w:t>
            </w:r>
          </w:p>
        </w:tc>
      </w:tr>
    </w:tbl>
    <w:p>
      <w:pPr>
        <w:spacing w:after="160"/>
      </w:pPr>
      <w:r>
        <w:rPr>
          <w:sz w:val="22"/>
          <w:szCs w:val="22"/>
        </w:rPr>
        <w:t xml:space="preserve"/>
      </w:r>
    </w:p>
    <w:p>
      <w:pPr>
        <w:pStyle w:val="Heading1"/>
        <w:spacing w:after="160" w:before="280"/>
      </w:pPr>
      <w:r>
        <w:rPr>
          <w:b/>
          <w:bCs/>
        </w:rPr>
        <w:t xml:space="preserve">2. Executive Summary</w:t>
      </w:r>
    </w:p>
    <w:p>
      <w:pPr>
        <w:spacing w:after="160"/>
      </w:pPr>
      <w:r>
        <w:rPr>
          <w:sz w:val="22"/>
          <w:szCs w:val="22"/>
        </w:rPr>
        <w:t xml:space="preserve">ExportBrain is a bilingual (AR/EN) AI trade advisor and role-based hub that turns the Foreign Trade Information Portal and Export Initiative service catalogues into cited answers for MFIT, affiliated entities and private exporters — hosted on Egypt-resident infrastructure.</w:t>
      </w:r>
    </w:p>
    <w:p>
      <w:pPr>
        <w:pStyle w:val="Heading1"/>
        <w:spacing w:after="160" w:before="280"/>
      </w:pPr>
      <w:r>
        <w:rPr>
          <w:b/>
          <w:bCs/>
        </w:rPr>
        <w:t xml:space="preserve">3. Background</w:t>
      </w:r>
    </w:p>
    <w:p>
      <w:pPr>
        <w:spacing w:after="160"/>
      </w:pPr>
      <w:r>
        <w:rPr>
          <w:sz w:val="22"/>
          <w:szCs w:val="22"/>
        </w:rPr>
        <w:t xml:space="preserve">Export Initiative (Eng. Hassan El-Khatib / MFIT): citizens and firms should know services from affiliated bodies enabling production then export — Export Development Authority, Export Development Fund, Exhibitions Authority, Commercial Representation — expanding the exporter base across governorates.</w:t>
      </w:r>
    </w:p>
    <w:p>
      <w:pPr>
        <w:spacing w:after="160"/>
      </w:pPr>
      <w:r>
        <w:rPr>
          <w:sz w:val="22"/>
          <w:szCs w:val="22"/>
        </w:rPr>
        <w:t xml:space="preserve">Foreign Trade Information Portal: 6,650 customs items with 10-year global demand maps; data centre ~50M records; OECD, UNCTAD, ITC, Atlas of Economic Complexity + GOEIC; NTMs, origin, shipping, agreements; interactive Egyptian import/export time series across 15 sectors. Framed as nucleus of national trade digitization (IDSC + MFIT).</w:t>
      </w:r>
    </w:p>
    <w:p>
      <w:pPr>
        <w:pStyle w:val="Heading1"/>
        <w:spacing w:after="160" w:before="280"/>
      </w:pPr>
      <w:r>
        <w:rPr>
          <w:b/>
          <w:bCs/>
        </w:rPr>
        <w:t xml:space="preserve">4. Problem</w:t>
      </w:r>
    </w:p>
    <w:p>
      <w:pPr>
        <w:spacing w:after="160"/>
      </w:pPr>
      <w:r>
        <w:rPr>
          <w:sz w:val="22"/>
          <w:szCs w:val="22"/>
        </w:rPr>
        <w:t xml:space="preserve">Fragmented interpretation of opportunity, market access and agency pathways slows exporters and overloads entity desks. Dashboards alone do not deliver cited, personalized guidance at scale.</w:t>
      </w:r>
    </w:p>
    <w:p>
      <w:pPr>
        <w:pStyle w:val="Heading1"/>
        <w:spacing w:after="160" w:before="280"/>
      </w:pPr>
      <w:r>
        <w:rPr>
          <w:b/>
          <w:bCs/>
        </w:rPr>
        <w:t xml:space="preserve">5. Vision / Objectives</w:t>
      </w:r>
    </w:p>
    <w:p>
      <w:pPr>
        <w:spacing w:after="80"/>
        <w:ind w:left="360"/>
      </w:pPr>
      <w:r>
        <w:rPr>
          <w:sz w:val="22"/>
          <w:szCs w:val="22"/>
        </w:rPr>
        <w:t xml:space="preserve">• One governed AI hub for trade intelligence under MFIT.</w:t>
      </w:r>
    </w:p>
    <w:p>
      <w:pPr>
        <w:spacing w:after="80"/>
        <w:ind w:left="360"/>
      </w:pPr>
      <w:r>
        <w:rPr>
          <w:sz w:val="22"/>
          <w:szCs w:val="22"/>
        </w:rPr>
        <w:t xml:space="preserve">• Cited answers only — decline when sources are insufficient.</w:t>
      </w:r>
    </w:p>
    <w:p>
      <w:pPr>
        <w:spacing w:after="80"/>
        <w:ind w:left="360"/>
      </w:pPr>
      <w:r>
        <w:rPr>
          <w:sz w:val="22"/>
          <w:szCs w:val="22"/>
        </w:rPr>
        <w:t xml:space="preserve">• Three audience layers with strict tenancy.</w:t>
      </w:r>
    </w:p>
    <w:p>
      <w:pPr>
        <w:spacing w:after="80"/>
        <w:ind w:left="360"/>
      </w:pPr>
      <w:r>
        <w:rPr>
          <w:sz w:val="22"/>
          <w:szCs w:val="22"/>
        </w:rPr>
        <w:t xml:space="preserve">• Sovereign hosting and auditable knowledge operations.</w:t>
      </w:r>
    </w:p>
    <w:p>
      <w:pPr>
        <w:spacing w:after="80"/>
        <w:ind w:left="360"/>
      </w:pPr>
      <w:r>
        <w:rPr>
          <w:sz w:val="22"/>
          <w:szCs w:val="22"/>
        </w:rPr>
        <w:t xml:space="preserve">• Clear path from pilot to Future Modules without over-claiming v1 scope.</w:t>
      </w:r>
    </w:p>
    <w:p>
      <w:pPr>
        <w:pStyle w:val="Heading1"/>
        <w:spacing w:after="160" w:before="280"/>
      </w:pPr>
      <w:r>
        <w:rPr>
          <w:b/>
          <w:bCs/>
        </w:rPr>
        <w:t xml:space="preserve">6. Target Users</w:t>
      </w:r>
    </w:p>
    <w:p>
      <w:pPr>
        <w:spacing w:after="80"/>
        <w:ind w:left="360"/>
      </w:pPr>
      <w:r>
        <w:rPr>
          <w:sz w:val="22"/>
          <w:szCs w:val="22"/>
        </w:rPr>
        <w:t xml:space="preserve">• Ministry leadership and analysts — policy and anonymized insight.</w:t>
      </w:r>
    </w:p>
    <w:p>
      <w:pPr>
        <w:spacing w:after="80"/>
        <w:ind w:left="360"/>
      </w:pPr>
      <w:r>
        <w:rPr>
          <w:sz w:val="22"/>
          <w:szCs w:val="22"/>
        </w:rPr>
        <w:t xml:space="preserve">• Affiliated entity officers — service routing and catalogue Q&amp;A.</w:t>
      </w:r>
    </w:p>
    <w:p>
      <w:pPr>
        <w:spacing w:after="80"/>
        <w:ind w:left="360"/>
      </w:pPr>
      <w:r>
        <w:rPr>
          <w:sz w:val="22"/>
          <w:szCs w:val="22"/>
        </w:rPr>
        <w:t xml:space="preserve">• Private exporters / manufacturers / investors — market and compliance guidance with private workspace.</w:t>
      </w:r>
    </w:p>
    <w:p>
      <w:pPr>
        <w:spacing w:after="80"/>
        <w:ind w:left="360"/>
      </w:pPr>
      <w:r>
        <w:rPr>
          <w:sz w:val="22"/>
          <w:szCs w:val="22"/>
        </w:rPr>
        <w:t xml:space="preserve">• Researchers (read-tier) — methodology and public portal grounding only.</w:t>
      </w:r>
    </w:p>
    <w:p>
      <w:pPr>
        <w:pStyle w:val="Heading1"/>
        <w:spacing w:after="160" w:before="280"/>
      </w:pPr>
      <w:r>
        <w:rPr>
          <w:b/>
          <w:bCs/>
        </w:rPr>
        <w:t xml:space="preserve">7. Scope</w:t>
      </w:r>
    </w:p>
    <w:p>
      <w:pPr>
        <w:pStyle w:val="Heading2"/>
        <w:spacing w:after="160" w:before="280"/>
      </w:pPr>
      <w:r>
        <w:rPr>
          <w:b/>
          <w:bCs/>
        </w:rPr>
        <w:t xml:space="preserve">In scope (v1)</w:t>
      </w:r>
    </w:p>
    <w:p>
      <w:pPr>
        <w:spacing w:after="80"/>
        <w:ind w:left="360"/>
      </w:pPr>
      <w:r>
        <w:rPr>
          <w:sz w:val="22"/>
          <w:szCs w:val="22"/>
        </w:rPr>
        <w:t xml:space="preserve">• Central hub, shared KB, private workspaces, RBAC, audit, admin curation, anonymized analytics seed, bilingual UI.</w:t>
      </w:r>
    </w:p>
    <w:p>
      <w:pPr>
        <w:pStyle w:val="Heading2"/>
        <w:spacing w:after="160" w:before="280"/>
      </w:pPr>
      <w:r>
        <w:rPr>
          <w:b/>
          <w:bCs/>
        </w:rPr>
        <w:t xml:space="preserve">Out of scope (v1)</w:t>
      </w:r>
    </w:p>
    <w:p>
      <w:pPr>
        <w:spacing w:after="80"/>
        <w:ind w:left="360"/>
      </w:pPr>
      <w:r>
        <w:rPr>
          <w:sz w:val="22"/>
          <w:szCs w:val="22"/>
        </w:rPr>
        <w:t xml:space="preserve">• Live customs clearance/filing, payments, replacing portal UI, open-web grounding, licensed buyer execution, Future Modules as live product.</w:t>
      </w:r>
    </w:p>
    <w:p>
      <w:pPr>
        <w:pStyle w:val="Heading1"/>
        <w:spacing w:after="160" w:before="280"/>
      </w:pPr>
      <w:r>
        <w:rPr>
          <w:b/>
          <w:bCs/>
        </w:rPr>
        <w:t xml:space="preserve">8. Solution Overview</w:t>
      </w:r>
    </w:p>
    <w:p>
      <w:pPr>
        <w:spacing w:after="160"/>
      </w:pPr>
      <w:r>
        <w:rPr>
          <w:sz w:val="22"/>
          <w:szCs w:val="22"/>
        </w:rPr>
        <w:t xml:space="preserve">Centralized hub (Option A): shared curated KB from portal + agency catalogues; per-tenant private docs; cited answers with mandatory citations; Egypt-resident GPU; ministry anonymized analytics.</w:t>
      </w:r>
    </w:p>
    <w:p>
      <w:pPr>
        <w:pStyle w:val="Heading1"/>
        <w:spacing w:after="160" w:before="280"/>
      </w:pPr>
      <w:r>
        <w:rPr>
          <w:b/>
          <w:bCs/>
        </w:rPr>
        <w:t xml:space="preserve">9. Functional Requirements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FR-1 Multilingual cited Q&amp;A with mandatory citations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FR-2 HS / market opportunity briefs from portal time series (seed of F1)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FR-3 NTM / rules-of-origin / agreement guidance (seed of F4/F5)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FR-4 Agency service router (seed of F3)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FR-5 Private workspace upload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FR-6 Role-based tenancy (Ministry / Entity / Company)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FR-7 Anonymized ministry analytics (seed of F14)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FR-8 Knowledge versioning &amp; refresh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FR-9 Decline/escalate when no reliable source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FR-10 Audit log of queries and retrievals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FR-11 Admin console for KB curation</w:t>
      </w:r>
    </w:p>
    <w:p>
      <w:pPr>
        <w:spacing w:after="80"/>
        <w:ind w:left="360"/>
      </w:pPr>
      <w:r>
        <w:rPr>
          <w:sz w:val="22"/>
          <w:szCs w:val="22"/>
        </w:rPr>
        <w:t xml:space="preserve">• FR-12 Export brief / PDF one-pager from a grounded answer (seed of F12)</w:t>
      </w:r>
    </w:p>
    <w:p>
      <w:pPr>
        <w:pStyle w:val="Heading1"/>
        <w:spacing w:after="160" w:before="280"/>
      </w:pPr>
      <w:r>
        <w:rPr>
          <w:b/>
          <w:bCs/>
        </w:rPr>
        <w:t xml:space="preserve">10. Non-functional</w:t>
      </w:r>
    </w:p>
    <w:p>
      <w:pPr>
        <w:spacing w:after="80"/>
        <w:ind w:left="360"/>
      </w:pPr>
      <w:r>
        <w:rPr>
          <w:sz w:val="22"/>
          <w:szCs w:val="22"/>
        </w:rPr>
        <w:t xml:space="preserve">• Data residency in Egypt for inference and vector store</w:t>
      </w:r>
    </w:p>
    <w:p>
      <w:pPr>
        <w:spacing w:after="80"/>
        <w:ind w:left="360"/>
      </w:pPr>
      <w:r>
        <w:rPr>
          <w:sz w:val="22"/>
          <w:szCs w:val="22"/>
        </w:rPr>
        <w:t xml:space="preserve">• Arabic and English UX (RTL/LTR)</w:t>
      </w:r>
    </w:p>
    <w:p>
      <w:pPr>
        <w:spacing w:after="80"/>
        <w:ind w:left="360"/>
      </w:pPr>
      <w:r>
        <w:rPr>
          <w:sz w:val="22"/>
          <w:szCs w:val="22"/>
        </w:rPr>
        <w:t xml:space="preserve">• Interactive latency targets agreed in discovery</w:t>
      </w:r>
    </w:p>
    <w:p>
      <w:pPr>
        <w:spacing w:after="80"/>
        <w:ind w:left="360"/>
      </w:pPr>
      <w:r>
        <w:rPr>
          <w:sz w:val="22"/>
          <w:szCs w:val="22"/>
        </w:rPr>
        <w:t xml:space="preserve">• Full audit trail; no cross-tenant retrieval</w:t>
      </w:r>
    </w:p>
    <w:p>
      <w:pPr>
        <w:spacing w:after="80"/>
        <w:ind w:left="360"/>
      </w:pPr>
      <w:r>
        <w:rPr>
          <w:sz w:val="22"/>
          <w:szCs w:val="22"/>
        </w:rPr>
        <w:t xml:space="preserve">• Accessibility baseline for ministry use</w:t>
      </w:r>
    </w:p>
    <w:p>
      <w:pPr>
        <w:pStyle w:val="Heading1"/>
        <w:spacing w:after="160" w:before="280"/>
      </w:pPr>
      <w:r>
        <w:rPr>
          <w:b/>
          <w:bCs/>
        </w:rPr>
        <w:t xml:space="preserve">11. Knowledge Base</w:t>
      </w:r>
    </w:p>
    <w:p>
      <w:pPr>
        <w:spacing w:after="80"/>
        <w:ind w:left="360"/>
      </w:pPr>
      <w:r>
        <w:rPr>
          <w:sz w:val="22"/>
          <w:szCs w:val="22"/>
        </w:rPr>
        <w:t xml:space="preserve">• Portal: HS items, demand maps, 15-sector dashboards, NTMs, origin, shipping, agreements, GOEIC-linked facts</w:t>
      </w:r>
    </w:p>
    <w:p>
      <w:pPr>
        <w:spacing w:after="80"/>
        <w:ind w:left="360"/>
      </w:pPr>
      <w:r>
        <w:rPr>
          <w:sz w:val="22"/>
          <w:szCs w:val="22"/>
        </w:rPr>
        <w:t xml:space="preserve">• International corpora as already unified in portal: OECD, UNCTAD, ITC, Atlas</w:t>
      </w:r>
    </w:p>
    <w:p>
      <w:pPr>
        <w:spacing w:after="80"/>
        <w:ind w:left="360"/>
      </w:pPr>
      <w:r>
        <w:rPr>
          <w:sz w:val="22"/>
          <w:szCs w:val="22"/>
        </w:rPr>
        <w:t xml:space="preserve">• Agency service catalogues: EDA, Fund, Exhibitions, Commercial Representation, GOEIC process notes</w:t>
      </w:r>
    </w:p>
    <w:p>
      <w:pPr>
        <w:spacing w:after="80"/>
        <w:ind w:left="360"/>
      </w:pPr>
      <w:r>
        <w:rPr>
          <w:sz w:val="22"/>
          <w:szCs w:val="22"/>
        </w:rPr>
        <w:t xml:space="preserve">• Private uploads: product lists, capacity, certificates (tenant-scoped)</w:t>
      </w:r>
    </w:p>
    <w:p>
      <w:pPr>
        <w:pStyle w:val="Heading1"/>
        <w:spacing w:after="160" w:before="280"/>
      </w:pPr>
      <w:r>
        <w:rPr>
          <w:b/>
          <w:bCs/>
        </w:rPr>
        <w:t xml:space="preserve">12. User Journeys</w:t>
      </w:r>
    </w:p>
    <w:p>
      <w:pPr>
        <w:spacing w:after="80"/>
        <w:ind w:left="360"/>
      </w:pPr>
      <w:r>
        <w:rPr>
          <w:sz w:val="22"/>
          <w:szCs w:val="22"/>
        </w:rPr>
        <w:t xml:space="preserve">• Exporter asks market opportunity → cited portal answer + private product cross-check</w:t>
      </w:r>
    </w:p>
    <w:p>
      <w:pPr>
        <w:spacing w:after="80"/>
        <w:ind w:left="360"/>
      </w:pPr>
      <w:r>
        <w:rPr>
          <w:sz w:val="22"/>
          <w:szCs w:val="22"/>
        </w:rPr>
        <w:t xml:space="preserve">• Exporter asks which entity helps → service router to Fund vs Exhibitions</w:t>
      </w:r>
    </w:p>
    <w:p>
      <w:pPr>
        <w:spacing w:after="80"/>
        <w:ind w:left="360"/>
      </w:pPr>
      <w:r>
        <w:rPr>
          <w:sz w:val="22"/>
          <w:szCs w:val="22"/>
        </w:rPr>
        <w:t xml:space="preserve">• Entity officer updates catalogue → versioned KB refresh</w:t>
      </w:r>
    </w:p>
    <w:p>
      <w:pPr>
        <w:spacing w:after="80"/>
        <w:ind w:left="360"/>
      </w:pPr>
      <w:r>
        <w:rPr>
          <w:sz w:val="22"/>
          <w:szCs w:val="22"/>
        </w:rPr>
        <w:t xml:space="preserve">• Ministry reviews anonymized hot topics → early-warning insight</w:t>
      </w:r>
    </w:p>
    <w:p>
      <w:pPr>
        <w:pStyle w:val="Heading1"/>
        <w:spacing w:after="160" w:before="280"/>
      </w:pPr>
      <w:r>
        <w:rPr>
          <w:b/>
          <w:bCs/>
        </w:rPr>
        <w:t xml:space="preserve">13. Success Metrics</w:t>
      </w:r>
    </w:p>
    <w:p>
      <w:pPr>
        <w:spacing w:after="80"/>
        <w:ind w:left="360"/>
      </w:pPr>
      <w:r>
        <w:rPr>
          <w:sz w:val="22"/>
          <w:szCs w:val="22"/>
        </w:rPr>
        <w:t xml:space="preserve">• ≥60% faster resolution · ≥95% cited answers · ≥80% pilot MAU · 0 cross-tenant leaks · measurable ticket deflection</w:t>
      </w:r>
    </w:p>
    <w:p>
      <w:pPr>
        <w:pStyle w:val="Heading1"/>
        <w:spacing w:after="160" w:before="280"/>
      </w:pPr>
      <w:r>
        <w:rPr>
          <w:b/>
          <w:bCs/>
        </w:rPr>
        <w:t xml:space="preserve">14. Risks</w:t>
      </w:r>
    </w:p>
    <w:p>
      <w:pPr>
        <w:spacing w:after="80"/>
        <w:ind w:left="360"/>
      </w:pPr>
      <w:r>
        <w:rPr>
          <w:sz w:val="22"/>
          <w:szCs w:val="22"/>
        </w:rPr>
        <w:t xml:space="preserve">• Feed lag · hallucination · tenancy bugs · delayed DPAs · over-scope into Future Modules</w:t>
      </w:r>
    </w:p>
    <w:p>
      <w:pPr>
        <w:pStyle w:val="Heading1"/>
        <w:spacing w:after="160" w:before="280"/>
      </w:pPr>
      <w:r>
        <w:rPr>
          <w:b/>
          <w:bCs/>
        </w:rPr>
        <w:t xml:space="preserve">15. Assumptions</w:t>
      </w:r>
    </w:p>
    <w:p>
      <w:pPr>
        <w:spacing w:after="80"/>
        <w:ind w:left="360"/>
      </w:pPr>
      <w:r>
        <w:rPr>
          <w:sz w:val="22"/>
          <w:szCs w:val="22"/>
        </w:rPr>
        <w:t xml:space="preserve">• MFIT sponsorship · portal/IDSC data access path · Egypt hosting approved · entity champions for pilot</w:t>
      </w:r>
    </w:p>
    <w:p>
      <w:pPr>
        <w:pStyle w:val="Heading1"/>
        <w:spacing w:after="160" w:before="280"/>
      </w:pPr>
      <w:r>
        <w:rPr>
          <w:b/>
          <w:bCs/>
        </w:rPr>
        <w:t xml:space="preserve">16. Next Steps</w:t>
      </w:r>
    </w:p>
    <w:p>
      <w:pPr>
        <w:spacing w:after="80"/>
        <w:ind w:left="360"/>
      </w:pPr>
      <w:r>
        <w:rPr>
          <w:sz w:val="22"/>
          <w:szCs w:val="22"/>
        </w:rPr>
        <w:t xml:space="preserve">• Discovery workshop · confirm corpora · pilot cohort · firm SoW</w:t>
      </w:r>
    </w:p>
    <w:p>
      <w:pPr>
        <w:pStyle w:val="Heading1"/>
        <w:spacing w:after="160" w:before="280"/>
      </w:pPr>
      <w:r>
        <w:rPr>
          <w:b/>
          <w:bCs/>
        </w:rPr>
        <w:t xml:space="preserve">17. Future Modules Catalog (F1–F16)</w:t>
      </w:r>
    </w:p>
    <w:p>
      <w:pPr>
        <w:pStyle w:val="Heading2"/>
        <w:spacing w:after="160" w:before="280"/>
      </w:pPr>
      <w:r>
        <w:rPr>
          <w:b/>
          <w:bCs/>
        </w:rPr>
        <w:t xml:space="preserve">A — Market Discovery &amp; Opportunity</w:t>
      </w:r>
    </w:p>
    <w:p>
      <w:pPr>
        <w:spacing w:after="80"/>
        <w:ind w:left="360"/>
      </w:pPr>
      <w:r>
        <w:rPr>
          <w:sz w:val="22"/>
          <w:szCs w:val="22"/>
        </w:rPr>
        <w:t xml:space="preserve">• F1 Smart market advisor · F10 Buyer/partner briefs (gated)</w:t>
      </w:r>
    </w:p>
    <w:p>
      <w:pPr>
        <w:pStyle w:val="Heading2"/>
        <w:spacing w:after="160" w:before="280"/>
      </w:pPr>
      <w:r>
        <w:rPr>
          <w:b/>
          <w:bCs/>
        </w:rPr>
        <w:t xml:space="preserve">B — Market Access &amp; Compliance</w:t>
      </w:r>
    </w:p>
    <w:p>
      <w:pPr>
        <w:spacing w:after="80"/>
        <w:ind w:left="360"/>
      </w:pPr>
      <w:r>
        <w:rPr>
          <w:sz w:val="22"/>
          <w:szCs w:val="22"/>
        </w:rPr>
        <w:t xml:space="preserve">• F4 NTM/SPS navigator · F5 FTA/origin coach · F6 HS assistant (advisory) · F15 Remedies watch</w:t>
      </w:r>
    </w:p>
    <w:p>
      <w:pPr>
        <w:pStyle w:val="Heading2"/>
        <w:spacing w:after="160" w:before="280"/>
      </w:pPr>
      <w:r>
        <w:rPr>
          <w:b/>
          <w:bCs/>
        </w:rPr>
        <w:t xml:space="preserve">C — Agency Services &amp; Export Enablement</w:t>
      </w:r>
    </w:p>
    <w:p>
      <w:pPr>
        <w:spacing w:after="80"/>
        <w:ind w:left="360"/>
      </w:pPr>
      <w:r>
        <w:rPr>
          <w:sz w:val="22"/>
          <w:szCs w:val="22"/>
        </w:rPr>
        <w:t xml:space="preserve">• F2 Funding matcher · F3 Service router · F8 Exhibition matcher · F9 Trade Rep brief</w:t>
      </w:r>
    </w:p>
    <w:p>
      <w:pPr>
        <w:pStyle w:val="Heading2"/>
        <w:spacing w:after="160" w:before="280"/>
      </w:pPr>
      <w:r>
        <w:rPr>
          <w:b/>
          <w:bCs/>
        </w:rPr>
        <w:t xml:space="preserve">D — Operations &amp; Documentation</w:t>
      </w:r>
    </w:p>
    <w:p>
      <w:pPr>
        <w:spacing w:after="80"/>
        <w:ind w:left="360"/>
      </w:pPr>
      <w:r>
        <w:rPr>
          <w:sz w:val="22"/>
          <w:szCs w:val="22"/>
        </w:rPr>
        <w:t xml:space="preserve">• F7 Methodology tutor · F11 Logistics explainer · F12 Document checklist generator</w:t>
      </w:r>
    </w:p>
    <w:p>
      <w:pPr>
        <w:pStyle w:val="Heading2"/>
        <w:spacing w:after="160" w:before="280"/>
      </w:pPr>
      <w:r>
        <w:rPr>
          <w:b/>
          <w:bCs/>
        </w:rPr>
        <w:t xml:space="preserve">E — Ministry Insight &amp; National Scale</w:t>
      </w:r>
    </w:p>
    <w:p>
      <w:pPr>
        <w:spacing w:after="80"/>
        <w:ind w:left="360"/>
      </w:pPr>
      <w:r>
        <w:rPr>
          <w:sz w:val="22"/>
          <w:szCs w:val="22"/>
        </w:rPr>
        <w:t xml:space="preserve">• F13 Governorate onboarding coach · F14 Anonymized insight layer</w:t>
      </w:r>
    </w:p>
    <w:p>
      <w:pPr>
        <w:pStyle w:val="Heading2"/>
        <w:spacing w:after="160" w:before="280"/>
      </w:pPr>
      <w:r>
        <w:rPr>
          <w:b/>
          <w:bCs/>
        </w:rPr>
        <w:t xml:space="preserve">F — Investment–Export Linkage</w:t>
      </w:r>
    </w:p>
    <w:p>
      <w:pPr>
        <w:spacing w:after="80"/>
        <w:ind w:left="360"/>
      </w:pPr>
      <w:r>
        <w:rPr>
          <w:sz w:val="22"/>
          <w:szCs w:val="22"/>
        </w:rPr>
        <w:t xml:space="preserve">• F16 Investment–export linkage advisor</w:t>
      </w:r>
    </w:p>
    <w:p>
      <w:pPr>
        <w:spacing w:after="160"/>
      </w:pPr>
      <w:r>
        <w:rPr>
          <w:sz w:val="22"/>
          <w:szCs w:val="22"/>
        </w:rPr>
        <w:t xml:space="preserve">Disclaimer: Future modules require governed sources, DPAs and steering approval; advisory only where legal risk exists.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2026-08-02T05:03:41.747Z</dcterms:created>
  <dcterms:modified xsi:type="dcterms:W3CDTF">2026-08-02T05:03:41.747Z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